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per l'autorizzazione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Regolamento comunale per l'applicazione della COSAP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